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E7BDF" w:rsidRDefault="00F92268" w:rsidP="00850792">
      <w:pPr>
        <w:pStyle w:val="BodyText"/>
        <w:rPr>
          <w:sz w:val="6"/>
          <w:szCs w:val="6"/>
        </w:rPr>
      </w:pPr>
      <w:r w:rsidRPr="00EE7BDF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E7BD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E7BDF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E7BDF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EE7BD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08361CD" w:rsidR="00F92268" w:rsidRPr="00EE7BDF" w:rsidRDefault="00813308" w:rsidP="002C6301">
            <w:pPr>
              <w:rPr>
                <w:rFonts w:cs="Arial"/>
                <w:sz w:val="16"/>
                <w:szCs w:val="16"/>
              </w:rPr>
            </w:pPr>
            <w:r w:rsidRPr="00EE7BDF">
              <w:rPr>
                <w:rFonts w:cs="Arial"/>
                <w:sz w:val="16"/>
                <w:szCs w:val="16"/>
              </w:rPr>
              <w:t>1862-A</w:t>
            </w:r>
          </w:p>
        </w:tc>
      </w:tr>
    </w:tbl>
    <w:p w14:paraId="5CB3765A" w14:textId="77777777" w:rsidR="002C6301" w:rsidRPr="00EE7BDF" w:rsidRDefault="002C6301" w:rsidP="00AA7D6B">
      <w:pPr>
        <w:pStyle w:val="BodyText"/>
        <w:spacing w:after="0"/>
        <w:rPr>
          <w:sz w:val="16"/>
          <w:szCs w:val="16"/>
        </w:rPr>
        <w:sectPr w:rsidR="002C6301" w:rsidRPr="00EE7BDF" w:rsidSect="00F55E21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6D1C5B1" w:rsidR="004B15BB" w:rsidRPr="00EE7BDF" w:rsidRDefault="00813308" w:rsidP="002C6301">
      <w:pPr>
        <w:pStyle w:val="Heading1"/>
      </w:pPr>
      <w:r w:rsidRPr="00EE7BDF">
        <w:t>Specialty Guideline Management</w:t>
      </w:r>
      <w:r w:rsidR="002C6301" w:rsidRPr="00EE7BDF">
        <w:br/>
      </w:r>
      <w:r w:rsidRPr="00EE7BDF">
        <w:t>Valchlor</w:t>
      </w:r>
    </w:p>
    <w:p w14:paraId="78861C92" w14:textId="677C3C91" w:rsidR="00203468" w:rsidRPr="00EE7BDF" w:rsidRDefault="00C64534" w:rsidP="008E0F0D">
      <w:pPr>
        <w:pStyle w:val="Heading2"/>
      </w:pPr>
      <w:r w:rsidRPr="00EE7BDF">
        <w:t xml:space="preserve">Products Referenced by this </w:t>
      </w:r>
      <w:r w:rsidR="00501602" w:rsidRPr="00EE7BDF">
        <w:t>Document</w:t>
      </w:r>
    </w:p>
    <w:p w14:paraId="5455152B" w14:textId="2899E886" w:rsidR="008E0F0D" w:rsidRPr="00EE7BDF" w:rsidRDefault="00D82D85" w:rsidP="008B73E8">
      <w:pPr>
        <w:pStyle w:val="BodyText"/>
      </w:pPr>
      <w:r w:rsidRPr="00EE7BDF">
        <w:t xml:space="preserve">Drugs that are listed in the </w:t>
      </w:r>
      <w:r w:rsidR="000315F1" w:rsidRPr="00EE7BDF">
        <w:t>following table</w:t>
      </w:r>
      <w:r w:rsidRPr="00EE7BDF">
        <w:t xml:space="preserve"> include both brand and generic and all dosage forms and strengths unless otherwise stated. </w:t>
      </w:r>
      <w:r w:rsidR="001C1052" w:rsidRPr="00BD1CC1">
        <w:t>O</w:t>
      </w:r>
      <w:r w:rsidR="001C1052">
        <w:t>ver-the-counter</w:t>
      </w:r>
      <w:r w:rsidR="001C1052" w:rsidRPr="00BD1CC1">
        <w:t xml:space="preserve"> </w:t>
      </w:r>
      <w:r w:rsidR="001C1052">
        <w:t xml:space="preserve">(OTC) </w:t>
      </w:r>
      <w:r w:rsidRPr="00EE7BDF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EE7BDF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EE7BDF" w:rsidRDefault="00252CE1" w:rsidP="00AA1E6A">
            <w:pPr>
              <w:pStyle w:val="TableHeader"/>
            </w:pPr>
            <w:bookmarkStart w:id="0" w:name="_Hlk159603270"/>
            <w:r w:rsidRPr="00EE7BDF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EE7BDF" w:rsidRDefault="00252CE1" w:rsidP="00AA1E6A">
            <w:pPr>
              <w:pStyle w:val="TableHeader"/>
            </w:pPr>
            <w:r w:rsidRPr="00EE7BDF">
              <w:t>Generic Name</w:t>
            </w:r>
          </w:p>
        </w:tc>
      </w:tr>
      <w:tr w:rsidR="00585FFF" w:rsidRPr="00EE7BDF" w14:paraId="2AD5C02D" w14:textId="77777777" w:rsidTr="000C5A6F">
        <w:trPr>
          <w:cantSplit/>
        </w:trPr>
        <w:tc>
          <w:tcPr>
            <w:tcW w:w="5265" w:type="dxa"/>
          </w:tcPr>
          <w:p w14:paraId="2D8FA8E3" w14:textId="6E058B8C" w:rsidR="00585FFF" w:rsidRPr="00EE7BDF" w:rsidRDefault="00813308" w:rsidP="00E82ABA">
            <w:pPr>
              <w:pStyle w:val="TableDataUnpadded"/>
            </w:pPr>
            <w:r w:rsidRPr="00EE7BDF">
              <w:t>Valchlor</w:t>
            </w:r>
          </w:p>
        </w:tc>
        <w:tc>
          <w:tcPr>
            <w:tcW w:w="5595" w:type="dxa"/>
          </w:tcPr>
          <w:p w14:paraId="7E26A004" w14:textId="11EDB67C" w:rsidR="00585FFF" w:rsidRPr="00EE7BDF" w:rsidRDefault="00813308" w:rsidP="00E82ABA">
            <w:pPr>
              <w:pStyle w:val="TableDataUnpadded"/>
            </w:pPr>
            <w:r w:rsidRPr="00EE7BDF">
              <w:t>mechlorethamine gel</w:t>
            </w:r>
          </w:p>
        </w:tc>
      </w:tr>
    </w:tbl>
    <w:bookmarkEnd w:id="0"/>
    <w:p w14:paraId="14CE6108" w14:textId="6D8F9C42" w:rsidR="00FC1AAD" w:rsidRPr="00EE7BDF" w:rsidRDefault="00ED052F" w:rsidP="00ED052F">
      <w:pPr>
        <w:pStyle w:val="Heading2"/>
      </w:pPr>
      <w:r w:rsidRPr="00EE7BDF">
        <w:t>Indications</w:t>
      </w:r>
    </w:p>
    <w:p w14:paraId="3F7A75CC" w14:textId="381FEE3B" w:rsidR="00813308" w:rsidRPr="00EE7BDF" w:rsidRDefault="00813308" w:rsidP="00813308">
      <w:pPr>
        <w:pStyle w:val="BodyText"/>
      </w:pPr>
      <w:r w:rsidRPr="00EE7BDF">
        <w:t>The indications below including FDA-approved indications and compendial uses are considered a covered benefit provided that all the approval criteria are met and the member has no exclusions to the prescribed therapy</w:t>
      </w:r>
      <w:r w:rsidR="0040294E">
        <w:t>.</w:t>
      </w:r>
    </w:p>
    <w:p w14:paraId="134B5687" w14:textId="11878974" w:rsidR="00ED052F" w:rsidRPr="00EE7BDF" w:rsidRDefault="00ED052F" w:rsidP="00ED052F">
      <w:pPr>
        <w:pStyle w:val="Heading3"/>
        <w:keepNext w:val="0"/>
      </w:pPr>
      <w:r w:rsidRPr="00EE7BDF">
        <w:t>FDA-</w:t>
      </w:r>
      <w:r w:rsidR="002C6301" w:rsidRPr="00EE7BDF">
        <w:t>A</w:t>
      </w:r>
      <w:r w:rsidRPr="00EE7BDF">
        <w:t>pproved Indications</w:t>
      </w:r>
      <w:r w:rsidR="002C6301" w:rsidRPr="00EE7BDF">
        <w:rPr>
          <w:vertAlign w:val="superscript"/>
        </w:rPr>
        <w:t>1</w:t>
      </w:r>
    </w:p>
    <w:p w14:paraId="3058A5F8" w14:textId="665403C4" w:rsidR="005C778C" w:rsidRPr="00EE7BDF" w:rsidRDefault="00813308" w:rsidP="00813308">
      <w:pPr>
        <w:pStyle w:val="BodyText"/>
      </w:pPr>
      <w:r w:rsidRPr="00EE7BDF">
        <w:t>Valchlor is indicated for the topical treatment of Stage IA and IB mycosis fungoides-type cutaneous T-cell lymphoma in patients who have received prior skin-directed therapy</w:t>
      </w:r>
      <w:r w:rsidR="00ED052F" w:rsidRPr="00EE7BDF">
        <w:t>.</w:t>
      </w:r>
    </w:p>
    <w:p w14:paraId="0B5EC236" w14:textId="1D2799B6" w:rsidR="0044763A" w:rsidRPr="00EE7BDF" w:rsidRDefault="009F2EF1" w:rsidP="0044763A">
      <w:pPr>
        <w:pStyle w:val="Heading3"/>
      </w:pPr>
      <w:r w:rsidRPr="00EE7BDF">
        <w:t>Compendial Uses</w:t>
      </w:r>
      <w:r w:rsidR="002C6301" w:rsidRPr="00EE7BDF">
        <w:rPr>
          <w:vertAlign w:val="superscript"/>
        </w:rPr>
        <w:t>2</w:t>
      </w:r>
    </w:p>
    <w:p w14:paraId="415238A8" w14:textId="00A9037A" w:rsidR="00813308" w:rsidRPr="00EE7BDF" w:rsidRDefault="004A532D" w:rsidP="002C6301">
      <w:pPr>
        <w:pStyle w:val="ListParagraph"/>
        <w:numPr>
          <w:ilvl w:val="0"/>
          <w:numId w:val="27"/>
        </w:numPr>
      </w:pPr>
      <w:r>
        <w:t>S</w:t>
      </w:r>
      <w:r w:rsidR="00813308" w:rsidRPr="00EE7BDF">
        <w:t>moldering adult T-cell leukemia/lymphoma (ATLL)</w:t>
      </w:r>
    </w:p>
    <w:p w14:paraId="0A546CA9" w14:textId="77777777" w:rsidR="00813308" w:rsidRPr="00EE7BDF" w:rsidRDefault="00813308" w:rsidP="002C6301">
      <w:pPr>
        <w:pStyle w:val="ListParagraph"/>
        <w:numPr>
          <w:ilvl w:val="0"/>
          <w:numId w:val="27"/>
        </w:numPr>
      </w:pPr>
      <w:r w:rsidRPr="00EE7BDF">
        <w:t>Mycosis fungoides/Sezary syndrome (MF/SS)</w:t>
      </w:r>
    </w:p>
    <w:p w14:paraId="63D94AE3" w14:textId="77777777" w:rsidR="00813308" w:rsidRPr="00EE7BDF" w:rsidRDefault="00813308" w:rsidP="002C6301">
      <w:pPr>
        <w:pStyle w:val="ListParagraph"/>
        <w:numPr>
          <w:ilvl w:val="0"/>
          <w:numId w:val="27"/>
        </w:numPr>
      </w:pPr>
      <w:r w:rsidRPr="00EE7BDF">
        <w:t>Primary cutaneous B-cell lymphoma:</w:t>
      </w:r>
    </w:p>
    <w:p w14:paraId="221AC8D9" w14:textId="337A32A0" w:rsidR="00813308" w:rsidRPr="00EE7BDF" w:rsidRDefault="00813308" w:rsidP="002C6301">
      <w:pPr>
        <w:pStyle w:val="ListParagraph"/>
        <w:numPr>
          <w:ilvl w:val="1"/>
          <w:numId w:val="28"/>
        </w:numPr>
      </w:pPr>
      <w:r w:rsidRPr="00EE7BDF">
        <w:t>Primary cutaneous marginal zone lymphoma</w:t>
      </w:r>
    </w:p>
    <w:p w14:paraId="7897F343" w14:textId="71F4E4B6" w:rsidR="00813308" w:rsidRPr="00EE7BDF" w:rsidRDefault="00813308" w:rsidP="002C6301">
      <w:pPr>
        <w:pStyle w:val="ListParagraph"/>
        <w:numPr>
          <w:ilvl w:val="1"/>
          <w:numId w:val="28"/>
        </w:numPr>
      </w:pPr>
      <w:r w:rsidRPr="00EE7BDF">
        <w:t>Primary cutaneous follicle center lymphoma</w:t>
      </w:r>
    </w:p>
    <w:p w14:paraId="785C47A6" w14:textId="77777777" w:rsidR="00813308" w:rsidRPr="00EE7BDF" w:rsidRDefault="00813308" w:rsidP="002C6301">
      <w:pPr>
        <w:pStyle w:val="ListParagraph"/>
        <w:numPr>
          <w:ilvl w:val="0"/>
          <w:numId w:val="27"/>
        </w:numPr>
      </w:pPr>
      <w:r w:rsidRPr="00EE7BDF">
        <w:t>Lymphomatoid papulosis (LyP)</w:t>
      </w:r>
    </w:p>
    <w:p w14:paraId="0735A451" w14:textId="77777777" w:rsidR="00813308" w:rsidRPr="00EE7BDF" w:rsidRDefault="00813308" w:rsidP="002C6301">
      <w:pPr>
        <w:pStyle w:val="ListParagraph"/>
        <w:numPr>
          <w:ilvl w:val="0"/>
          <w:numId w:val="27"/>
        </w:numPr>
      </w:pPr>
      <w:r w:rsidRPr="00EE7BDF">
        <w:t>Histiocytic Neoplasms</w:t>
      </w:r>
    </w:p>
    <w:p w14:paraId="2FED7864" w14:textId="77777777" w:rsidR="00813308" w:rsidRPr="00EE7BDF" w:rsidRDefault="00813308" w:rsidP="002C6301">
      <w:pPr>
        <w:pStyle w:val="ListParagraph"/>
        <w:numPr>
          <w:ilvl w:val="1"/>
          <w:numId w:val="27"/>
        </w:numPr>
      </w:pPr>
      <w:r w:rsidRPr="00EE7BDF">
        <w:t>Langerhans Cell Histiocytosis</w:t>
      </w:r>
    </w:p>
    <w:p w14:paraId="0E057B91" w14:textId="77777777" w:rsidR="00813308" w:rsidRPr="00EE7BDF" w:rsidRDefault="00813308" w:rsidP="00813308">
      <w:pPr>
        <w:pStyle w:val="BodyText"/>
        <w:rPr>
          <w:color w:val="222222"/>
        </w:rPr>
      </w:pPr>
      <w:r w:rsidRPr="00EE7BDF">
        <w:rPr>
          <w:color w:val="222222"/>
        </w:rPr>
        <w:t>All other indications are considered experimental/investigational and not medically necessary.</w:t>
      </w:r>
    </w:p>
    <w:p w14:paraId="0FA3C28C" w14:textId="738D0AB9" w:rsidR="00C40AD3" w:rsidRPr="00EE7BDF" w:rsidRDefault="002C6301" w:rsidP="002C6301">
      <w:pPr>
        <w:pStyle w:val="Heading2"/>
        <w:tabs>
          <w:tab w:val="left" w:pos="9477"/>
        </w:tabs>
      </w:pPr>
      <w:r w:rsidRPr="00EE7BDF">
        <w:lastRenderedPageBreak/>
        <w:t>Coverage Criteria</w:t>
      </w:r>
    </w:p>
    <w:p w14:paraId="1E1ADDB6" w14:textId="764C30F3" w:rsidR="00813308" w:rsidRPr="00EE7BDF" w:rsidRDefault="002C6301" w:rsidP="002C6301">
      <w:pPr>
        <w:pStyle w:val="Heading3"/>
      </w:pPr>
      <w:r w:rsidRPr="00EE7BDF">
        <w:t>Mycosis Fungoides/Sezary Syndrome (M</w:t>
      </w:r>
      <w:r w:rsidR="00DA2643">
        <w:t>F</w:t>
      </w:r>
      <w:r w:rsidRPr="00EE7BDF">
        <w:t>/S</w:t>
      </w:r>
      <w:r w:rsidR="00DA2643">
        <w:t>S</w:t>
      </w:r>
      <w:r w:rsidRPr="00EE7BDF">
        <w:t>)</w:t>
      </w:r>
      <w:r w:rsidRPr="00EE7BDF">
        <w:rPr>
          <w:vertAlign w:val="superscript"/>
        </w:rPr>
        <w:t>1,2</w:t>
      </w:r>
    </w:p>
    <w:p w14:paraId="07B83EC6" w14:textId="77777777" w:rsidR="00813308" w:rsidRPr="00EE7BDF" w:rsidRDefault="00813308" w:rsidP="00813308">
      <w:pPr>
        <w:pStyle w:val="BodyText"/>
      </w:pPr>
      <w:r w:rsidRPr="00EE7BDF">
        <w:t>Authorization of 12 months may be granted for the treatment of mycosis fungoides or Sezary syndrome.</w:t>
      </w:r>
    </w:p>
    <w:p w14:paraId="1E0BF5CC" w14:textId="3B83FE0D" w:rsidR="00813308" w:rsidRPr="00EE7BDF" w:rsidRDefault="00813308" w:rsidP="002C6301">
      <w:pPr>
        <w:pStyle w:val="Heading3"/>
      </w:pPr>
      <w:r w:rsidRPr="00EE7BDF">
        <w:t>Adult T</w:t>
      </w:r>
      <w:r w:rsidR="002C6301" w:rsidRPr="00EE7BDF">
        <w:t>-Cell Leukemia/Lymphoma (</w:t>
      </w:r>
      <w:r w:rsidRPr="00EE7BDF">
        <w:t>ATLL</w:t>
      </w:r>
      <w:r w:rsidR="002C6301" w:rsidRPr="00EE7BDF">
        <w:t>)</w:t>
      </w:r>
      <w:r w:rsidR="002C6301" w:rsidRPr="00EE7BDF">
        <w:rPr>
          <w:vertAlign w:val="superscript"/>
        </w:rPr>
        <w:t>2</w:t>
      </w:r>
    </w:p>
    <w:p w14:paraId="4BE14E3A" w14:textId="6EF716EA" w:rsidR="00813308" w:rsidRPr="00582C05" w:rsidRDefault="00813308" w:rsidP="00813308">
      <w:pPr>
        <w:pStyle w:val="BodyText"/>
      </w:pPr>
      <w:r w:rsidRPr="00EE7BDF">
        <w:t xml:space="preserve">Authorization of 12 months may be granted for the treatment of smoldering adult T-cell </w:t>
      </w:r>
      <w:r w:rsidRPr="00582C05">
        <w:t>leukemia/lymphoma (ATLL).</w:t>
      </w:r>
    </w:p>
    <w:p w14:paraId="42C9E77F" w14:textId="214FA0B9" w:rsidR="00813308" w:rsidRPr="00582C05" w:rsidRDefault="00813308" w:rsidP="002C6301">
      <w:pPr>
        <w:pStyle w:val="Heading3"/>
      </w:pPr>
      <w:r w:rsidRPr="00582C05">
        <w:t xml:space="preserve">Primary </w:t>
      </w:r>
      <w:r w:rsidR="002C6301" w:rsidRPr="00582C05">
        <w:t xml:space="preserve">Cutaneous </w:t>
      </w:r>
      <w:r w:rsidRPr="00582C05">
        <w:t>B</w:t>
      </w:r>
      <w:r w:rsidR="002C6301" w:rsidRPr="00582C05">
        <w:t>-Cell Lymphoma</w:t>
      </w:r>
      <w:r w:rsidR="002C6301" w:rsidRPr="00582C05">
        <w:rPr>
          <w:vertAlign w:val="superscript"/>
        </w:rPr>
        <w:t>2</w:t>
      </w:r>
    </w:p>
    <w:p w14:paraId="56C2C136" w14:textId="77777777" w:rsidR="00813308" w:rsidRPr="00582C05" w:rsidRDefault="00813308" w:rsidP="00813308">
      <w:pPr>
        <w:pStyle w:val="BodyText"/>
      </w:pPr>
      <w:r w:rsidRPr="00582C05">
        <w:t>Authorization of 12 months may be granted for the treatment of primary cutaneous marginal zone or follicle center lymphoma.</w:t>
      </w:r>
    </w:p>
    <w:p w14:paraId="75731E53" w14:textId="3A53CA75" w:rsidR="00813308" w:rsidRPr="00582C05" w:rsidRDefault="00813308" w:rsidP="002C6301">
      <w:pPr>
        <w:pStyle w:val="Heading3"/>
      </w:pPr>
      <w:r w:rsidRPr="00582C05">
        <w:t>Lymphomatoid Papulosis (LyP)</w:t>
      </w:r>
      <w:r w:rsidRPr="00582C05">
        <w:rPr>
          <w:vertAlign w:val="superscript"/>
        </w:rPr>
        <w:t>2</w:t>
      </w:r>
    </w:p>
    <w:p w14:paraId="5C5F5CA6" w14:textId="77777777" w:rsidR="00813308" w:rsidRPr="00582C05" w:rsidRDefault="00813308" w:rsidP="00813308">
      <w:pPr>
        <w:pStyle w:val="BodyText"/>
      </w:pPr>
      <w:r w:rsidRPr="00582C05">
        <w:t>Authorization of 12 months may be granted for the treatment of lymphomatoid papulosis (LyP).</w:t>
      </w:r>
    </w:p>
    <w:p w14:paraId="23732803" w14:textId="4D7C4335" w:rsidR="00813308" w:rsidRPr="00582C05" w:rsidRDefault="00813308" w:rsidP="002C6301">
      <w:pPr>
        <w:pStyle w:val="Heading3"/>
      </w:pPr>
      <w:r w:rsidRPr="00582C05">
        <w:t>Histiocytic Neoplasms</w:t>
      </w:r>
      <w:r w:rsidRPr="00582C05">
        <w:rPr>
          <w:vertAlign w:val="superscript"/>
        </w:rPr>
        <w:t>2</w:t>
      </w:r>
    </w:p>
    <w:p w14:paraId="186B4017" w14:textId="58105FAB" w:rsidR="00C40AD3" w:rsidRPr="00582C05" w:rsidRDefault="00813308" w:rsidP="00813308">
      <w:pPr>
        <w:pStyle w:val="BodyText"/>
      </w:pPr>
      <w:r w:rsidRPr="00582C05">
        <w:t>Authorization of 12 months may be granted for the treatment of Langerhans cell histiocytosis with isolated skin disease.</w:t>
      </w:r>
    </w:p>
    <w:p w14:paraId="3A643EC3" w14:textId="7083A941" w:rsidR="00A501AC" w:rsidRPr="00EE7BDF" w:rsidRDefault="00A501AC" w:rsidP="00A501AC">
      <w:pPr>
        <w:pStyle w:val="Heading2"/>
      </w:pPr>
      <w:r w:rsidRPr="00582C05">
        <w:t>Continuation of</w:t>
      </w:r>
      <w:r w:rsidRPr="00EE7BDF">
        <w:t xml:space="preserve"> Therapy</w:t>
      </w:r>
    </w:p>
    <w:p w14:paraId="32C8905D" w14:textId="24F100BF" w:rsidR="00A501AC" w:rsidRPr="00EE7BDF" w:rsidRDefault="00813308" w:rsidP="003D46B0">
      <w:pPr>
        <w:pStyle w:val="BodyText"/>
      </w:pPr>
      <w:r w:rsidRPr="00EE7BDF">
        <w:t xml:space="preserve">Authorization of 12 months may be granted for continued treatment in members requesting reauthorization for an indication listed in </w:t>
      </w:r>
      <w:r w:rsidR="003A446F">
        <w:t>the Coverage Criteria section</w:t>
      </w:r>
      <w:r w:rsidRPr="00EE7BDF">
        <w:t xml:space="preserve"> when there is no evidence of unacceptable toxicity or disease progression while on the current regimen</w:t>
      </w:r>
      <w:r w:rsidR="00A501AC" w:rsidRPr="00EE7BDF">
        <w:t>.</w:t>
      </w:r>
    </w:p>
    <w:p w14:paraId="0A275F8B" w14:textId="6862EA7A" w:rsidR="000E0438" w:rsidRPr="00EE7BDF" w:rsidRDefault="000E0438" w:rsidP="000E0438">
      <w:pPr>
        <w:pStyle w:val="Heading2"/>
      </w:pPr>
      <w:r w:rsidRPr="00EE7BDF">
        <w:t>References</w:t>
      </w:r>
    </w:p>
    <w:p w14:paraId="5C03DBD9" w14:textId="65FA8089" w:rsidR="00813308" w:rsidRPr="00EE7BDF" w:rsidRDefault="00813308" w:rsidP="00813308">
      <w:pPr>
        <w:pStyle w:val="ReferenceOrdered"/>
      </w:pPr>
      <w:r w:rsidRPr="00EE7BDF">
        <w:t>Valchlor [package insert]. Iselin, NJ: Helsinn Therapeutics, Inc.; January 2020.</w:t>
      </w:r>
    </w:p>
    <w:p w14:paraId="62AEB04C" w14:textId="183706AC" w:rsidR="000E0438" w:rsidRPr="00EE7BDF" w:rsidRDefault="00813308" w:rsidP="00813308">
      <w:pPr>
        <w:pStyle w:val="ReferenceOrdered"/>
      </w:pPr>
      <w:r w:rsidRPr="00EE7BDF">
        <w:t xml:space="preserve">The NCCN Drugs &amp; Biologics Compendium® © 2024 National Comprehensive Cancer Network, Inc. https://www.nccn.org. Accessed </w:t>
      </w:r>
      <w:r w:rsidR="00582C05">
        <w:t>December 17</w:t>
      </w:r>
      <w:r w:rsidRPr="00EE7BDF">
        <w:t>, 2024</w:t>
      </w:r>
      <w:r w:rsidR="000E0438" w:rsidRPr="00EE7BDF">
        <w:t>.</w:t>
      </w:r>
    </w:p>
    <w:sectPr w:rsidR="000E0438" w:rsidRPr="00EE7BDF" w:rsidSect="005F4C7B">
      <w:footerReference w:type="default" r:id="rId15"/>
      <w:type w:val="continuous"/>
      <w:pgSz w:w="12240" w:h="15840" w:code="1"/>
      <w:pgMar w:top="900" w:right="720" w:bottom="990" w:left="720" w:header="720" w:footer="41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D6473" w14:textId="77777777" w:rsidR="00FE61F7" w:rsidRDefault="00FE61F7">
      <w:r>
        <w:separator/>
      </w:r>
    </w:p>
  </w:endnote>
  <w:endnote w:type="continuationSeparator" w:id="0">
    <w:p w14:paraId="48D3F2B3" w14:textId="77777777" w:rsidR="00FE61F7" w:rsidRDefault="00FE61F7">
      <w:r>
        <w:continuationSeparator/>
      </w:r>
    </w:p>
  </w:endnote>
  <w:endnote w:type="continuationNotice" w:id="1">
    <w:p w14:paraId="13F30026" w14:textId="77777777" w:rsidR="00FE61F7" w:rsidRDefault="00FE6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2C5D9" w14:textId="27E80B7F" w:rsidR="002C6301" w:rsidRPr="00EC47B6" w:rsidRDefault="002C6301" w:rsidP="002C6301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0294E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C1052" w:rsidRPr="005F4C7B">
      <w:rPr>
        <w:rFonts w:cs="Arial"/>
        <w:noProof/>
        <w:sz w:val="16"/>
        <w:szCs w:val="16"/>
      </w:rPr>
      <w:t>Valchlor</w:t>
    </w:r>
    <w:r w:rsidR="001C1052">
      <w:rPr>
        <w:rFonts w:cs="Arial"/>
        <w:noProof/>
        <w:snapToGrid w:val="0"/>
        <w:color w:val="000000"/>
        <w:sz w:val="16"/>
        <w:szCs w:val="16"/>
      </w:rPr>
      <w:t xml:space="preserve"> SGM 1862-A</w:t>
    </w:r>
    <w:r w:rsidR="001C1052" w:rsidRPr="005F4C7B">
      <w:rPr>
        <w:rFonts w:cs="Arial"/>
        <w:noProof/>
        <w:sz w:val="16"/>
        <w:szCs w:val="16"/>
      </w:rPr>
      <w:t xml:space="preserve"> 2024</w:t>
    </w:r>
    <w:r w:rsidR="001C1052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40294E">
      <w:rPr>
        <w:rFonts w:cs="Arial"/>
        <w:snapToGrid w:val="0"/>
        <w:color w:val="000000"/>
        <w:sz w:val="16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1F7CEA81" w14:textId="47B50C06" w:rsidR="002C6301" w:rsidRPr="00EC47B6" w:rsidRDefault="002C6301" w:rsidP="002C6301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0382C77" w14:textId="3327EB9B" w:rsidR="002C6301" w:rsidRPr="00F50D98" w:rsidRDefault="002C6301" w:rsidP="005F4C7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04649" w14:textId="3F67BF1C" w:rsidR="002C6301" w:rsidRPr="00EC47B6" w:rsidRDefault="002C6301" w:rsidP="002C6301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0294E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44E71" w:rsidRPr="00A44E71">
      <w:rPr>
        <w:rFonts w:cs="Arial"/>
        <w:noProof/>
        <w:sz w:val="16"/>
        <w:szCs w:val="16"/>
      </w:rPr>
      <w:t>Valchlor</w:t>
    </w:r>
    <w:r w:rsidR="00A44E71">
      <w:rPr>
        <w:rFonts w:cs="Arial"/>
        <w:noProof/>
        <w:snapToGrid w:val="0"/>
        <w:color w:val="000000"/>
        <w:sz w:val="16"/>
        <w:szCs w:val="16"/>
      </w:rPr>
      <w:t xml:space="preserve"> SGM 1862-A</w:t>
    </w:r>
    <w:r w:rsidR="00A44E71" w:rsidRPr="00A44E7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40294E">
      <w:rPr>
        <w:rFonts w:cs="Arial"/>
        <w:snapToGrid w:val="0"/>
        <w:color w:val="000000"/>
        <w:sz w:val="16"/>
      </w:rPr>
      <w:tab/>
      <w:t>© 202</w:t>
    </w:r>
    <w:r w:rsidR="00582C05">
      <w:rPr>
        <w:rFonts w:cs="Arial"/>
        <w:snapToGrid w:val="0"/>
        <w:color w:val="000000"/>
        <w:sz w:val="16"/>
      </w:rPr>
      <w:t>5</w:t>
    </w:r>
    <w:r w:rsidRPr="0040294E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1D855B5A" w14:textId="3FEE2E5C" w:rsidR="002C6301" w:rsidRPr="00EC47B6" w:rsidRDefault="002C6301" w:rsidP="002C6301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126A3CA" w14:textId="3B0BFA76" w:rsidR="002C6301" w:rsidRPr="00F50D98" w:rsidRDefault="002C6301" w:rsidP="005F4C7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BD15" w14:textId="4F097BFA" w:rsidR="001C1052" w:rsidRPr="00EC47B6" w:rsidRDefault="001C1052" w:rsidP="001C105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0294E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44E71" w:rsidRPr="00A44E71">
      <w:rPr>
        <w:rFonts w:cs="Arial"/>
        <w:noProof/>
        <w:sz w:val="16"/>
        <w:szCs w:val="16"/>
      </w:rPr>
      <w:t>Valchlor</w:t>
    </w:r>
    <w:r w:rsidR="00A44E71">
      <w:rPr>
        <w:rFonts w:cs="Arial"/>
        <w:noProof/>
        <w:snapToGrid w:val="0"/>
        <w:color w:val="000000"/>
        <w:sz w:val="16"/>
        <w:szCs w:val="16"/>
      </w:rPr>
      <w:t xml:space="preserve"> SGM 1862-A</w:t>
    </w:r>
    <w:r w:rsidR="00A44E71" w:rsidRPr="00A44E7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40294E">
      <w:rPr>
        <w:rFonts w:cs="Arial"/>
        <w:snapToGrid w:val="0"/>
        <w:color w:val="000000"/>
        <w:sz w:val="16"/>
      </w:rPr>
      <w:tab/>
      <w:t>© 202</w:t>
    </w:r>
    <w:r w:rsidR="00582C05">
      <w:rPr>
        <w:rFonts w:cs="Arial"/>
        <w:snapToGrid w:val="0"/>
        <w:color w:val="000000"/>
        <w:sz w:val="16"/>
      </w:rPr>
      <w:t>5</w:t>
    </w:r>
    <w:r w:rsidRPr="0040294E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4DC1C64A" w14:textId="77777777" w:rsidR="001C1052" w:rsidRPr="00EC47B6" w:rsidRDefault="001C1052" w:rsidP="001C105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B4ED461" w14:textId="77E6EF85" w:rsidR="002C6301" w:rsidRPr="002C6301" w:rsidRDefault="001C1052" w:rsidP="005F4C7B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4B1DE" w14:textId="77777777" w:rsidR="00FE61F7" w:rsidRDefault="00FE61F7">
      <w:r>
        <w:separator/>
      </w:r>
    </w:p>
  </w:footnote>
  <w:footnote w:type="continuationSeparator" w:id="0">
    <w:p w14:paraId="0A58AC2D" w14:textId="77777777" w:rsidR="00FE61F7" w:rsidRDefault="00FE61F7">
      <w:r>
        <w:continuationSeparator/>
      </w:r>
    </w:p>
  </w:footnote>
  <w:footnote w:type="continuationNotice" w:id="1">
    <w:p w14:paraId="3D7E1642" w14:textId="77777777" w:rsidR="00FE61F7" w:rsidRDefault="00FE61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C6301" w:rsidRPr="00ED04EC" w14:paraId="312C7370" w14:textId="77777777" w:rsidTr="00423E8B">
      <w:trPr>
        <w:trHeight w:val="144"/>
        <w:jc w:val="right"/>
      </w:trPr>
      <w:tc>
        <w:tcPr>
          <w:tcW w:w="1854" w:type="dxa"/>
          <w:hideMark/>
        </w:tcPr>
        <w:p w14:paraId="657413E7" w14:textId="77777777" w:rsidR="002C6301" w:rsidRPr="002C6301" w:rsidRDefault="002C6301" w:rsidP="002C6301">
          <w:pPr>
            <w:pStyle w:val="Header"/>
            <w:rPr>
              <w:rFonts w:cs="Arial"/>
              <w:sz w:val="16"/>
              <w:szCs w:val="16"/>
            </w:rPr>
          </w:pPr>
          <w:r w:rsidRPr="002C6301">
            <w:rPr>
              <w:rFonts w:cs="Arial"/>
              <w:sz w:val="16"/>
              <w:szCs w:val="16"/>
            </w:rPr>
            <w:t>Reference number(s)</w:t>
          </w:r>
        </w:p>
      </w:tc>
    </w:tr>
    <w:tr w:rsidR="002C6301" w:rsidRPr="00ED04EC" w14:paraId="14485705" w14:textId="77777777" w:rsidTr="00423E8B">
      <w:trPr>
        <w:trHeight w:val="378"/>
        <w:jc w:val="right"/>
      </w:trPr>
      <w:tc>
        <w:tcPr>
          <w:tcW w:w="1854" w:type="dxa"/>
          <w:hideMark/>
        </w:tcPr>
        <w:p w14:paraId="11556675" w14:textId="7157E5AD" w:rsidR="002C6301" w:rsidRPr="002C6301" w:rsidRDefault="002C6301" w:rsidP="002C6301">
          <w:pPr>
            <w:pStyle w:val="Header"/>
            <w:rPr>
              <w:rFonts w:cs="Arial"/>
              <w:sz w:val="16"/>
              <w:szCs w:val="16"/>
            </w:rPr>
          </w:pPr>
          <w:r w:rsidRPr="002C6301">
            <w:rPr>
              <w:rFonts w:cs="Arial"/>
              <w:sz w:val="16"/>
              <w:szCs w:val="16"/>
            </w:rPr>
            <w:t>1862-A</w:t>
          </w:r>
        </w:p>
      </w:tc>
    </w:tr>
  </w:tbl>
  <w:p w14:paraId="1CB08ABE" w14:textId="77777777" w:rsidR="002C6301" w:rsidRPr="002C6301" w:rsidRDefault="002C6301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ED916E6"/>
    <w:multiLevelType w:val="multilevel"/>
    <w:tmpl w:val="2DBE17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C1E9E"/>
    <w:multiLevelType w:val="multilevel"/>
    <w:tmpl w:val="2DBE17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B7071"/>
    <w:multiLevelType w:val="multilevel"/>
    <w:tmpl w:val="344C98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5"/>
  </w:num>
  <w:num w:numId="21" w16cid:durableId="1066490929">
    <w:abstractNumId w:val="27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6"/>
  </w:num>
  <w:num w:numId="26" w16cid:durableId="1323004445">
    <w:abstractNumId w:val="18"/>
  </w:num>
  <w:num w:numId="27" w16cid:durableId="1182470128">
    <w:abstractNumId w:val="14"/>
  </w:num>
  <w:num w:numId="28" w16cid:durableId="211478688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5E2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052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301"/>
    <w:rsid w:val="002C6509"/>
    <w:rsid w:val="002C674A"/>
    <w:rsid w:val="002C6CE0"/>
    <w:rsid w:val="002C6F4C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16F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67D00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46F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94E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5540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5DC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32D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65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2C05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7B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488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823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113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58F5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ABC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308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530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8CA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C7A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71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31B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714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643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312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E7BDF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0D7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5E21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70F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1F7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E3EEB-AF4C-4236-ADD2-4A67C47FE309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Valchlor SGM 1862-A</vt:lpstr>
    </vt:vector>
  </TitlesOfParts>
  <Company>CVS Caremark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Valchlor SGM 1862-A</dc:title>
  <dc:subject>Valchlor SGM 1862-A</dc:subject>
  <dc:creator>CVS Caremark</dc:creator>
  <cp:keywords/>
  <cp:lastModifiedBy>Reynoso, Victor H</cp:lastModifiedBy>
  <cp:revision>4</cp:revision>
  <cp:lastPrinted>2024-04-12T07:40:00Z</cp:lastPrinted>
  <dcterms:created xsi:type="dcterms:W3CDTF">2025-04-23T18:14:00Z</dcterms:created>
  <dcterms:modified xsi:type="dcterms:W3CDTF">2025-04-23T18:17:00Z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944100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